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Bd" w:cs="Klavika Bd" w:eastAsia="Klavika Bd" w:hAnsi="Klavika Bd"/>
          <w:b w:val="1"/>
          <w:color w:val="000000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2"/>
          <w:szCs w:val="32"/>
          <w:rtl w:val="0"/>
        </w:rPr>
        <w:t xml:space="preserve">Comunicado de Imprensa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Klavika Lt" w:cs="Klavika Lt" w:eastAsia="Klavika Lt" w:hAnsi="Klavika Lt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sz w:val="24"/>
          <w:szCs w:val="24"/>
          <w:u w:val="single"/>
          <w:rtl w:val="0"/>
        </w:rPr>
        <w:t xml:space="preserve">Nova edição de cerveja envelhecida em barrica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Bd" w:cs="Klavika Bd" w:eastAsia="Klavika Bd" w:hAnsi="Klavika Bd"/>
          <w:b w:val="1"/>
          <w:color w:val="000000"/>
          <w:sz w:val="38"/>
          <w:szCs w:val="38"/>
        </w:rPr>
      </w:pP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8"/>
          <w:szCs w:val="38"/>
          <w:rtl w:val="0"/>
        </w:rPr>
        <w:t xml:space="preserve">Super Bock Selecção 1927</w:t>
      </w:r>
      <w:r w:rsidDel="00000000" w:rsidR="00000000" w:rsidRPr="00000000">
        <w:rPr>
          <w:rFonts w:ascii="Klavika Bd" w:cs="Klavika Bd" w:eastAsia="Klavika Bd" w:hAnsi="Klavika Bd"/>
          <w:b w:val="1"/>
          <w:i w:val="1"/>
          <w:color w:val="000000"/>
          <w:sz w:val="38"/>
          <w:szCs w:val="38"/>
          <w:rtl w:val="0"/>
        </w:rPr>
        <w:t xml:space="preserve"> Barrel Aged Premium Lager 2023: </w:t>
      </w: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8"/>
          <w:szCs w:val="38"/>
          <w:rtl w:val="0"/>
        </w:rPr>
        <w:t xml:space="preserve">uma cerveja especial para ocasiões especiais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Bd" w:cs="Klavika Bd" w:eastAsia="Klavika Bd" w:hAnsi="Klavika Bd"/>
          <w:b w:val="1"/>
          <w:i w:val="1"/>
          <w:color w:val="00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Super Bock Seleção 1927 dá a conhecer a nova edição de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Barrel Aged Premium Lager 2023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. Trata-se de uma linha especial de cervejas envelhecidas em barricas de carvalho francês e americano), que se distingue pelos aromas complexos e sabores intensos de carácter maltado, com notas de madeira e caramelo.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Destinado a quem procura uma bebida surpreendente para ocasiões especiais, como um jantar com família ou amigos, este produto poderá ser encontrado em lojas selecionadas do Continente,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Auchan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 e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El Corte Inglés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, em dois novos formatos diferentes: 33cl ou pack 75cl com inclusão de copo.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Esta aposta vem reforçar as credenciais cervejeiras de Selecção 1927 e o carácter inovador da marca ao juntar a madeira e a cerveja através de um processo de produção único e ancestral que torna esta bebida inigualável.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A edição especial Super Bock Selecção 1927 é produzida em pequenos lotes na Casa da Cerveja (uma pequena unidade de produção independente), com matérias-primas nobres e provenientes dos melhores produtos, dotando esta bebida de um carácter forte e elevada complexidade sensorial.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A diversidade de oferta permite que os apreciadores alarguem o seu universo cervejeiro, desfrutando de diferentes gamas. Atualmente estão disponíveis 3 cervejas de forma permanente –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Munich Dunkel, Bavaria Weiss, 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e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Japanese Rice Lager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. Junta-se, agora, numa edição sazonal e limitada, </w:t>
      </w:r>
      <w:r w:rsidDel="00000000" w:rsidR="00000000" w:rsidRPr="00000000">
        <w:rPr>
          <w:rFonts w:ascii="Klavika Lt" w:cs="Klavika Lt" w:eastAsia="Klavika Lt" w:hAnsi="Klavika Lt"/>
          <w:i w:val="1"/>
          <w:color w:val="000000"/>
          <w:rtl w:val="0"/>
        </w:rPr>
        <w:t xml:space="preserve">Selecção 1927 Barrel Aged Premium Lager 2023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, que pertence à mais recente série de cervejas envelhecidas em barricas de madeira de Super Bock.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Lisboa, </w:t>
      </w:r>
      <w:r w:rsidDel="00000000" w:rsidR="00000000" w:rsidRPr="00000000">
        <w:rPr>
          <w:rFonts w:ascii="Klavika Lt" w:cs="Klavika Lt" w:eastAsia="Klavika Lt" w:hAnsi="Klavika Lt"/>
          <w:rtl w:val="0"/>
        </w:rPr>
        <w:t xml:space="preserve">13 de novembr</w:t>
      </w:r>
      <w:r w:rsidDel="00000000" w:rsidR="00000000" w:rsidRPr="00000000">
        <w:rPr>
          <w:rFonts w:ascii="Klavika Lt" w:cs="Klavika Lt" w:eastAsia="Klavika Lt" w:hAnsi="Klavika Lt"/>
          <w:color w:val="000000"/>
          <w:rtl w:val="0"/>
        </w:rPr>
        <w:t xml:space="preserve">o de 2023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Klavika Lt" w:cs="Klavika Lt" w:eastAsia="Klavika Lt" w:hAnsi="Klavika L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color w:val="262626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Informações adicionais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RAQUEL PELICA :: </w:t>
      </w:r>
      <w:r w:rsidDel="00000000" w:rsidR="00000000" w:rsidRPr="00000000">
        <w:rPr>
          <w:rFonts w:ascii="Calibri" w:cs="Calibri" w:eastAsia="Calibri" w:hAnsi="Calibri"/>
          <w:color w:val="262626"/>
          <w:sz w:val="18"/>
          <w:szCs w:val="18"/>
          <w:rtl w:val="0"/>
        </w:rPr>
        <w:t xml:space="preserve">ISABEL CARRIÇO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2321405</wp:posOffset>
            </wp:positionH>
            <wp:positionV relativeFrom="paragraph">
              <wp:posOffset>114300</wp:posOffset>
            </wp:positionV>
            <wp:extent cx="846772" cy="318588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4606" l="0" r="0" t="22162"/>
                    <a:stretch>
                      <a:fillRect/>
                    </a:stretch>
                  </pic:blipFill>
                  <pic:spPr>
                    <a:xfrm>
                      <a:off x="0" y="0"/>
                      <a:ext cx="846772" cy="318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Calibri" w:cs="Calibri" w:eastAsia="Calibri" w:hAnsi="Calibri"/>
          <w:vertAlign w:val="subscript"/>
        </w:rPr>
      </w:pPr>
      <w:r w:rsidDel="00000000" w:rsidR="00000000" w:rsidRPr="00000000">
        <w:rPr>
          <w:rFonts w:ascii="Calibri" w:cs="Calibri" w:eastAsia="Calibri" w:hAnsi="Calibri"/>
          <w:vertAlign w:val="subscript"/>
          <w:rtl w:val="0"/>
        </w:rPr>
        <w:t xml:space="preserve">Tel. 218 508 110 :: Tlm. 961 571 726 :: 965 232 496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Calibri" w:cs="Calibri" w:eastAsia="Calibri" w:hAnsi="Calibri"/>
          <w:color w:val="808080"/>
          <w:vertAlign w:val="subscript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70c0"/>
            <w:sz w:val="18"/>
            <w:szCs w:val="18"/>
            <w:u w:val="single"/>
            <w:vertAlign w:val="subscript"/>
            <w:rtl w:val="0"/>
          </w:rPr>
          <w:t xml:space="preserve">RAQUELPELICA@LPMCOM.PT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vertAlign w:val="subscript"/>
          <w:rtl w:val="0"/>
        </w:rPr>
        <w:t xml:space="preserve"> :: </w:t>
      </w:r>
      <w:hyperlink r:id="rId9">
        <w:r w:rsidDel="00000000" w:rsidR="00000000" w:rsidRPr="00000000">
          <w:rPr>
            <w:rFonts w:ascii="Calibri" w:cs="Calibri" w:eastAsia="Calibri" w:hAnsi="Calibri"/>
            <w:color w:val="0070c0"/>
            <w:sz w:val="18"/>
            <w:szCs w:val="18"/>
            <w:u w:val="single"/>
            <w:vertAlign w:val="subscript"/>
            <w:rtl w:val="0"/>
          </w:rPr>
          <w:t xml:space="preserve">ISABELCARRICO@LPMCOM.PT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Calibri" w:cs="Calibri" w:eastAsia="Calibri" w:hAnsi="Calibri"/>
          <w:color w:val="808080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color w:val="808080"/>
          <w:vertAlign w:val="subscript"/>
          <w:rtl w:val="0"/>
        </w:rPr>
        <w:t xml:space="preserve">Ed. Lisboa Oriente, Av. Infante D. Henrique, 333 H, esc.49, 1800-282 Lisboa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985" w:top="1932" w:left="1134" w:right="2125" w:header="708" w:footer="28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lavika Bd"/>
  <w:font w:name="Klavika L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Leça do Balio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Matosinhos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4465-764 Leça do Balio</w:t>
      <w:tab/>
    </w:r>
    <w:r w:rsidDel="00000000" w:rsidR="00000000" w:rsidRPr="00000000">
      <w:rPr>
        <w:color w:val="86754d"/>
        <w:sz w:val="15"/>
        <w:szCs w:val="15"/>
        <w:rtl w:val="0"/>
      </w:rPr>
      <w:t xml:space="preserve">www.</w:t>
    </w:r>
    <w:r w:rsidDel="00000000" w:rsidR="00000000" w:rsidRPr="00000000">
      <w:rPr>
        <w:color w:val="6d6e71"/>
        <w:sz w:val="15"/>
        <w:szCs w:val="15"/>
        <w:rtl w:val="0"/>
      </w:rPr>
      <w:t xml:space="preserve">superbockgroup.com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65446" cy="838187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5446" cy="838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4269023</wp:posOffset>
          </wp:positionH>
          <wp:positionV relativeFrom="paragraph">
            <wp:posOffset>-446403</wp:posOffset>
          </wp:positionV>
          <wp:extent cx="2543073" cy="1071025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b="0" l="0" r="0" t="0"/>
          <wp:wrapNone/>
          <wp:docPr descr="logo cab esq-02" id="15" name="image4.png"/>
          <a:graphic>
            <a:graphicData uri="http://schemas.openxmlformats.org/drawingml/2006/picture">
              <pic:pic>
                <pic:nvPicPr>
                  <pic:cNvPr descr="logo cab esq-02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after="24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jc w:val="left"/>
    </w:pPr>
    <w:rPr>
      <w:rFonts w:ascii="Arial" w:cs="Arial" w:eastAsia="Arial" w:hAnsi="Arial"/>
      <w:b w:val="1"/>
      <w:color w:val="86754d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jc w:val="left"/>
    </w:pPr>
    <w:rPr>
      <w:rFonts w:ascii="Arial" w:cs="Arial" w:eastAsia="Arial" w:hAnsi="Arial"/>
      <w:b w:val="1"/>
      <w:color w:val="b21e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jc w:val="left"/>
    </w:pPr>
    <w:rPr>
      <w:rFonts w:ascii="Arial" w:cs="Arial" w:eastAsia="Arial" w:hAnsi="Arial"/>
      <w:color w:val="b21e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smallCaps w:val="1"/>
      <w:color w:val="86754d"/>
      <w:sz w:val="28"/>
      <w:szCs w:val="28"/>
    </w:rPr>
  </w:style>
  <w:style w:type="paragraph" w:styleId="Normal" w:default="1">
    <w:name w:val="Normal"/>
    <w:qFormat w:val="1"/>
    <w:rsid w:val="00985315"/>
    <w:rPr>
      <w:color w:val="000000" w:themeColor="text1"/>
    </w:rPr>
  </w:style>
  <w:style w:type="paragraph" w:styleId="Ttulo1">
    <w:name w:val="heading 1"/>
    <w:basedOn w:val="Normal"/>
    <w:next w:val="Normal"/>
    <w:link w:val="Ttulo1Carter"/>
    <w:uiPriority w:val="9"/>
    <w:qFormat w:val="1"/>
    <w:rsid w:val="005A76AC"/>
    <w:pPr>
      <w:keepNext w:val="1"/>
      <w:keepLines w:val="1"/>
      <w:spacing w:after="0" w:before="480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5A76AC"/>
    <w:pPr>
      <w:keepNext w:val="1"/>
      <w:keepLines w:val="1"/>
      <w:spacing w:after="0" w:before="200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5A76AC"/>
    <w:pPr>
      <w:keepNext w:val="1"/>
      <w:keepLines w:val="1"/>
      <w:spacing w:after="0" w:before="200"/>
      <w:jc w:val="left"/>
      <w:outlineLvl w:val="2"/>
    </w:pPr>
    <w:rPr>
      <w:rFonts w:asciiTheme="majorHAnsi" w:cstheme="majorBidi" w:eastAsiaTheme="majorEastAsia" w:hAnsiTheme="majorHAnsi"/>
      <w:bCs w:val="1"/>
      <w:color w:val="b21e28" w:themeColor="accent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link w:val="TtuloCarter"/>
    <w:uiPriority w:val="10"/>
    <w:qFormat w:val="1"/>
    <w:rsid w:val="0093073C"/>
    <w:rPr>
      <w:b w:val="1"/>
      <w:caps w:val="1"/>
      <w:noProof w:val="1"/>
      <w:color w:val="86754d" w:themeColor="accent2"/>
      <w:sz w:val="28"/>
    </w:rPr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93073C"/>
    <w:rPr>
      <w:b w:val="1"/>
      <w:caps w:val="1"/>
      <w:noProof w:val="1"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 w:val="1"/>
    <w:rsid w:val="005A76AC"/>
    <w:pPr>
      <w:spacing w:after="200" w:line="240" w:lineRule="auto"/>
    </w:pPr>
    <w:rPr>
      <w:b w:val="1"/>
      <w:bCs w:val="1"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 w:val="1"/>
    <w:pPr>
      <w:jc w:val="left"/>
    </w:pPr>
    <w:rPr>
      <w:b w:val="1"/>
      <w:color w:val="b21e28"/>
      <w:sz w:val="26"/>
      <w:szCs w:val="26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5A76AC"/>
    <w:rPr>
      <w:rFonts w:asciiTheme="majorHAnsi" w:cstheme="majorBidi" w:eastAsiaTheme="majorEastAsia" w:hAnsiTheme="majorHAnsi"/>
      <w:b w:val="1"/>
      <w:iCs w:val="1"/>
      <w:color w:val="b21e28" w:themeColor="accent1"/>
      <w:spacing w:val="15"/>
      <w:sz w:val="26"/>
      <w:szCs w:val="24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5A76AC"/>
    <w:rPr>
      <w:rFonts w:asciiTheme="majorHAnsi" w:cstheme="majorBidi" w:eastAsiaTheme="majorEastAsia" w:hAnsiTheme="majorHAnsi"/>
      <w:b w:val="1"/>
      <w:bCs w:val="1"/>
      <w:color w:val="86754d" w:themeColor="accent2"/>
      <w:sz w:val="24"/>
      <w:szCs w:val="28"/>
    </w:rPr>
  </w:style>
  <w:style w:type="character" w:styleId="Ttulo2Carter" w:customStyle="1">
    <w:name w:val="Título 2 Caráter"/>
    <w:basedOn w:val="Tipodeletrapredefinidodopargrafo"/>
    <w:link w:val="Ttulo2"/>
    <w:uiPriority w:val="9"/>
    <w:rsid w:val="005A76AC"/>
    <w:rPr>
      <w:rFonts w:asciiTheme="majorHAnsi" w:cstheme="majorBidi" w:eastAsiaTheme="majorEastAsia" w:hAnsiTheme="majorHAnsi"/>
      <w:b w:val="1"/>
      <w:bCs w:val="1"/>
      <w:color w:val="b21e28" w:themeColor="accent1"/>
      <w:sz w:val="22"/>
      <w:szCs w:val="26"/>
    </w:rPr>
  </w:style>
  <w:style w:type="character" w:styleId="Ttulo3Carter" w:customStyle="1">
    <w:name w:val="Título 3 Caráter"/>
    <w:basedOn w:val="Tipodeletrapredefinidodopargrafo"/>
    <w:link w:val="Ttulo3"/>
    <w:uiPriority w:val="9"/>
    <w:rsid w:val="005A76AC"/>
    <w:rPr>
      <w:rFonts w:asciiTheme="majorHAnsi" w:cstheme="majorBidi" w:eastAsiaTheme="majorEastAsia" w:hAnsiTheme="majorHAnsi"/>
      <w:bCs w:val="1"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961A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961A52"/>
    <w:rPr>
      <w:rFonts w:ascii="Tahoma" w:cs="Tahoma" w:hAnsi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 w:val="1"/>
    <w:rsid w:val="00B9256F"/>
    <w:rPr>
      <w:color w:val="b21e28" w:themeColor="hyperlink"/>
      <w:u w:val="single"/>
    </w:rPr>
  </w:style>
  <w:style w:type="paragraph" w:styleId="SemEspaamento1" w:customStyle="1">
    <w:name w:val="Sem Espaçamento1"/>
    <w:qFormat w:val="1"/>
    <w:rsid w:val="009D779A"/>
    <w:rPr>
      <w:rFonts w:ascii="Calibri" w:hAnsi="Calibri"/>
      <w:lang w:eastAsia="en-US"/>
    </w:rPr>
  </w:style>
  <w:style w:type="paragraph" w:styleId="SemEspaamento">
    <w:name w:val="No Spacing"/>
    <w:uiPriority w:val="1"/>
    <w:qFormat w:val="1"/>
    <w:rsid w:val="009D779A"/>
    <w:rPr>
      <w:rFonts w:ascii="Calibri" w:hAnsi="Calibri"/>
      <w:lang w:eastAsia="en-US"/>
    </w:rPr>
  </w:style>
  <w:style w:type="paragraph" w:styleId="Default" w:customStyle="1">
    <w:name w:val="Default"/>
    <w:rsid w:val="00D86F16"/>
    <w:pPr>
      <w:autoSpaceDE w:val="0"/>
      <w:autoSpaceDN w:val="0"/>
      <w:adjustRightInd w:val="0"/>
    </w:pPr>
    <w:rPr>
      <w:rFonts w:ascii="Klavika Lt" w:cs="Klavika Lt" w:eastAsia="Times New Roman" w:hAnsi="Klavika Lt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rsid w:val="00B821D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 w:val="1"/>
    <w:unhideWhenUsed w:val="1"/>
    <w:rsid w:val="00B821DA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 w:val="1"/>
    <w:rsid w:val="00B821DA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 w:val="1"/>
    <w:unhideWhenUsed w:val="1"/>
    <w:rsid w:val="00B821DA"/>
    <w:rPr>
      <w:b w:val="1"/>
      <w:bCs w:val="1"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 w:val="1"/>
    <w:rsid w:val="00B821DA"/>
    <w:rPr>
      <w:b w:val="1"/>
      <w:bCs w:val="1"/>
      <w:color w:val="000000" w:themeColor="text1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715BD7"/>
    <w:rPr>
      <w:color w:val="605e5c"/>
      <w:shd w:color="auto" w:fill="e1dfdd" w:val="clear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67529E"/>
    <w:rPr>
      <w:color w:val="86754d" w:themeColor="followedHyperlink"/>
      <w:u w:val="single"/>
    </w:rPr>
  </w:style>
  <w:style w:type="paragraph" w:styleId="Reviso">
    <w:name w:val="Revision"/>
    <w:hidden w:val="1"/>
    <w:uiPriority w:val="99"/>
    <w:semiHidden w:val="1"/>
    <w:rsid w:val="00804CC5"/>
    <w:pPr>
      <w:spacing w:after="0" w:line="240" w:lineRule="auto"/>
      <w:jc w:val="left"/>
    </w:pPr>
    <w:rPr>
      <w:color w:val="000000" w:themeColor="text1"/>
    </w:rPr>
  </w:style>
  <w:style w:type="paragraph" w:styleId="Subtitle">
    <w:name w:val="Subtitle"/>
    <w:basedOn w:val="Normal"/>
    <w:next w:val="Normal"/>
    <w:pPr>
      <w:jc w:val="left"/>
    </w:pPr>
    <w:rPr>
      <w:b w:val="1"/>
      <w:color w:val="b21e28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SABELCARRICO@LPMCOM.P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RAQUELPELICA@LPMCOM.P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zPJsDH0iKWqTd4mi+9AWpZQ/g==">AMUW2mUjiVmQf9lRqKiSBzP2pW7F2iM1ArXIWa8OuZCiTj5ycWc2/9kv4blaT1Md735n+mTRrNpqNhR9uICH6p4V5NHz9UxAb0xsAkhI73kC6VYlFr0sSUwx/4iQM85arWscetp/KEIl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2023-10-25T08:20:00Z</dcterms:created>
  <dc:creator>LPM</dc:creator>
</cp:coreProperties>
</file>